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2317BDA2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lijun.liu@iter.org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CD3821">
        <w:rPr>
          <w:rFonts w:ascii="Arial" w:eastAsia="平成明朝" w:hAnsi="Arial" w:cs="Arial"/>
          <w:color w:val="800000"/>
          <w:szCs w:val="24"/>
        </w:rPr>
        <w:t>17</w:t>
      </w:r>
      <w:bookmarkStart w:id="0" w:name="_GoBack"/>
      <w:bookmarkEnd w:id="0"/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00240A">
        <w:rPr>
          <w:rFonts w:ascii="Arial" w:eastAsia="平成明朝" w:hAnsi="Arial" w:cs="Arial"/>
          <w:color w:val="800000"/>
          <w:szCs w:val="24"/>
        </w:rPr>
        <w:t>November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2C692CBD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IO/22/CFE/10024</w:t>
      </w:r>
      <w:r w:rsidR="0000240A">
        <w:rPr>
          <w:rFonts w:ascii="Arial" w:eastAsia="平成明朝" w:hAnsi="Arial" w:cs="Arial"/>
          <w:b/>
          <w:szCs w:val="24"/>
        </w:rPr>
        <w:t>847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539CAACA" w14:textId="77777777" w:rsidR="0000240A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00240A" w:rsidRPr="0000240A">
        <w:rPr>
          <w:rFonts w:ascii="Arial" w:eastAsia="平成明朝" w:hAnsi="Arial" w:cs="Arial"/>
          <w:b/>
          <w:szCs w:val="24"/>
        </w:rPr>
        <w:t>Diagnostic development and coordination</w:t>
      </w:r>
    </w:p>
    <w:p w14:paraId="44AD344A" w14:textId="173717B7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 xml:space="preserve">– EXT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D3821">
        <w:rPr>
          <w:szCs w:val="24"/>
        </w:rPr>
      </w:r>
      <w:r w:rsidR="00CD3821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D3821">
        <w:rPr>
          <w:szCs w:val="24"/>
        </w:rPr>
      </w:r>
      <w:r w:rsidR="00CD3821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D88415A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63071C">
      <w:rPr>
        <w:sz w:val="20"/>
        <w:szCs w:val="28"/>
      </w:rPr>
      <w:t>4</w:t>
    </w:r>
    <w:r w:rsidR="0000240A">
      <w:rPr>
        <w:sz w:val="20"/>
        <w:szCs w:val="28"/>
      </w:rPr>
      <w:t>847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CD3821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CD3821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240A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jun.liu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9CC4B5-E124-4A06-8068-684A78F4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759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12</cp:revision>
  <cp:lastPrinted>2022-05-09T06:47:00Z</cp:lastPrinted>
  <dcterms:created xsi:type="dcterms:W3CDTF">2022-07-12T10:57:00Z</dcterms:created>
  <dcterms:modified xsi:type="dcterms:W3CDTF">2022-11-07T09:58:00Z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